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,Bold" w:cs="Arial,Bold" w:eastAsia="Arial,Bold" w:hAnsi="Arial,Bold"/>
          <w:b w:val="1"/>
          <w:color w:val="05050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,Bold" w:cs="Arial,Bold" w:eastAsia="Arial,Bold" w:hAnsi="Arial,Bold"/>
          <w:b w:val="1"/>
          <w:color w:val="050505"/>
          <w:sz w:val="26"/>
          <w:szCs w:val="26"/>
        </w:rPr>
      </w:pP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ورقة</w:t>
      </w: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معلومات</w:t>
      </w: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شكاوى</w:t>
      </w: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rial,Bold" w:cs="Arial,Bold" w:eastAsia="Arial,Bold" w:hAnsi="Arial,Bold"/>
          <w:b w:val="1"/>
          <w:color w:val="050505"/>
          <w:sz w:val="26"/>
          <w:szCs w:val="26"/>
          <w:rtl w:val="1"/>
        </w:rPr>
        <w:t xml:space="preserve">المواطنين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,Bold" w:cs="Arial,Bold" w:eastAsia="Arial,Bold" w:hAnsi="Arial,Bold"/>
          <w:b w:val="1"/>
          <w:color w:val="05050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320"/>
        </w:tabs>
        <w:bidi w:val="1"/>
        <w:spacing w:after="0" w:line="240" w:lineRule="auto"/>
        <w:jc w:val="both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يلتزم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ab/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نورثفيل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بتقديم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إنفاذ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تتسم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بالعدل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والفعالية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والتطبيق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المحايد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مصلحة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الجميع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حل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شكواك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أداء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ضابط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معين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عادل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وفوري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ولدى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الشرطة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إجراءات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رسمية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للتحقيق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شكواك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وتم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الإجراءات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لضمان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العدالة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وحماية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المواطنين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وضباط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إنفاذ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البلاغات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الشكاوى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مجهولة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الشكاوى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بغض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الاثنية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الجنسي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للطرف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الشكوى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إرسال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شكواك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شؤون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مدرب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تدريبا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خاصا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تحقيقا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شاملا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وموضوعيا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مفصل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مستندات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الشكاوى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ضباط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إنفاذ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بدقة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وسيتم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إطلاعك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ونتائجه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طلبت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والعاقب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المفروض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بالضبط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إعلامك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بالنتيجة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رجحان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يوضح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انتهك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توجيه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النائب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المدعي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المقاطعة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بروتوكول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وكالة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تشغيل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دائمة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: ​​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رجحان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سوء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المزعوم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بريء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يوضح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رجحان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المزعوم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ينتهك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توجيه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النائب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المدعي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المقاطعة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بروتوكول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وكالة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تشغيل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دائمة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يتوصل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أدلة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كافية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لإثبات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الادعاء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بوضوح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دحضه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أظهر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أجريناه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جريمة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ارتكبت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إخطار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المدعي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بالمقاطعة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أسفر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أجريناه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اتهام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بانتهاك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جلسة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استماع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أظهر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أجريناه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الشكوى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تصرف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صحيح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غلق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المسألة</w:t>
      </w:r>
      <w:r w:rsidDel="00000000" w:rsidR="00000000" w:rsidRPr="00000000">
        <w:rPr>
          <w:rFonts w:ascii="Arial" w:cs="Arial" w:eastAsia="Arial" w:hAnsi="Arial"/>
          <w:color w:val="050505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تحقيقات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غلق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جلسات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التأديبية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الضابط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المدعى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جلسة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كريس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مازيلي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5900-768-201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تحويلة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101)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المحقق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الرقيب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كوري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بيرغويز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الرقم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5900-768-201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تحويلة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103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إضافية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5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